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3C3FE4">
        <w:rPr>
          <w:rFonts w:eastAsia="Times New Roman"/>
          <w:b/>
          <w:bCs/>
          <w:i/>
          <w:sz w:val="22"/>
          <w:szCs w:val="22"/>
        </w:rPr>
        <w:t>Załącznik nr 2</w:t>
      </w:r>
      <w:bookmarkStart w:id="0" w:name="_GoBack"/>
      <w:bookmarkEnd w:id="0"/>
      <w:r w:rsidR="00044CB3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EE4FF8" w:rsidRPr="008A014E" w:rsidRDefault="00EE4FF8" w:rsidP="00EE4FF8">
      <w:pPr>
        <w:pStyle w:val="Tytu"/>
        <w:rPr>
          <w:rFonts w:ascii="Times New Roman" w:hAnsi="Times New Roman"/>
          <w:i/>
          <w:sz w:val="22"/>
          <w:szCs w:val="22"/>
        </w:rPr>
      </w:pPr>
      <w:r w:rsidRPr="008A014E">
        <w:rPr>
          <w:rFonts w:ascii="Times New Roman" w:hAnsi="Times New Roman"/>
          <w:i/>
          <w:sz w:val="22"/>
          <w:szCs w:val="22"/>
        </w:rPr>
        <w:t xml:space="preserve">Wzór umowy nr </w:t>
      </w:r>
      <w:r w:rsidR="000D65E3">
        <w:rPr>
          <w:rFonts w:ascii="Times New Roman" w:hAnsi="Times New Roman"/>
          <w:i/>
          <w:sz w:val="22"/>
          <w:szCs w:val="22"/>
        </w:rPr>
        <w:t>1231/ZZK/2019/NN</w:t>
      </w:r>
      <w:r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EE4FF8" w:rsidRPr="000D65E3" w:rsidRDefault="000D65E3" w:rsidP="00EE4FF8">
      <w:pPr>
        <w:pStyle w:val="Tekstpodstawowy"/>
        <w:spacing w:after="0"/>
        <w:rPr>
          <w:sz w:val="22"/>
          <w:szCs w:val="22"/>
        </w:rPr>
      </w:pPr>
      <w:r w:rsidRPr="000D65E3">
        <w:rPr>
          <w:sz w:val="22"/>
          <w:szCs w:val="22"/>
        </w:rPr>
        <w:t>……………………………………………………………………………………..</w:t>
      </w:r>
    </w:p>
    <w:p w:rsidR="000D65E3" w:rsidRPr="008A014E" w:rsidRDefault="000D65E3" w:rsidP="00EE4FF8">
      <w:pPr>
        <w:pStyle w:val="Tekstpodstawowy"/>
        <w:spacing w:after="0"/>
        <w:rPr>
          <w:b/>
          <w:sz w:val="22"/>
          <w:szCs w:val="22"/>
        </w:rPr>
      </w:pP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65769" w:rsidRPr="00965769" w:rsidRDefault="00044CB3" w:rsidP="0096576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Zamawiający zleca, a Wykonawca przyjmuje do wykonania usługę pn.:</w:t>
      </w:r>
      <w:r w:rsidRPr="000D65E3">
        <w:rPr>
          <w:b/>
          <w:sz w:val="22"/>
          <w:szCs w:val="22"/>
        </w:rPr>
        <w:t xml:space="preserve">  </w:t>
      </w:r>
    </w:p>
    <w:p w:rsidR="000D65E3" w:rsidRPr="000D65E3" w:rsidRDefault="00965769" w:rsidP="00965769">
      <w:pPr>
        <w:pStyle w:val="Akapitzlist"/>
        <w:widowControl/>
        <w:suppressAutoHyphens w:val="0"/>
        <w:spacing w:line="360" w:lineRule="auto"/>
        <w:ind w:left="360" w:firstLine="0"/>
        <w:jc w:val="center"/>
        <w:rPr>
          <w:sz w:val="22"/>
          <w:szCs w:val="22"/>
        </w:rPr>
      </w:pPr>
      <w:r w:rsidRPr="00965769">
        <w:rPr>
          <w:b/>
          <w:sz w:val="22"/>
          <w:szCs w:val="22"/>
          <w:lang w:val="pl-PL"/>
        </w:rPr>
        <w:t>„Remont monitoringu wi</w:t>
      </w:r>
      <w:r>
        <w:rPr>
          <w:b/>
          <w:sz w:val="22"/>
          <w:szCs w:val="22"/>
          <w:lang w:val="pl-PL"/>
        </w:rPr>
        <w:t>zyjnego elektrowni EW Dobczyce”</w:t>
      </w: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D8478E">
        <w:rPr>
          <w:sz w:val="22"/>
          <w:szCs w:val="22"/>
          <w:lang w:val="pl-PL"/>
        </w:rPr>
        <w:t>, stanowiące integralną część umowy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025DF9" w:rsidRDefault="00044CB3" w:rsidP="000D65E3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66DF8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F66DF8">
        <w:rPr>
          <w:b/>
          <w:sz w:val="22"/>
          <w:szCs w:val="22"/>
        </w:rPr>
        <w:t>30 dni</w:t>
      </w:r>
      <w:r>
        <w:rPr>
          <w:b/>
          <w:sz w:val="22"/>
          <w:szCs w:val="22"/>
        </w:rPr>
        <w:t xml:space="preserve"> od podpisania umowy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142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 xml:space="preserve">Wynagrodzenie, o którym mowa w ust. 1 obejmuje wszystkie koszty związane z realizacją przedmiotu umowy, niezbędne materiały i narzędzia użyte przez Wykonawcę do wykonania </w:t>
      </w:r>
      <w:r w:rsidR="00965769">
        <w:rPr>
          <w:sz w:val="22"/>
          <w:szCs w:val="22"/>
          <w:lang w:eastAsia="pl-PL"/>
        </w:rPr>
        <w:t>p</w:t>
      </w:r>
      <w:r w:rsidRPr="00D14C4B">
        <w:rPr>
          <w:sz w:val="22"/>
          <w:szCs w:val="22"/>
          <w:lang w:eastAsia="pl-PL"/>
        </w:rPr>
        <w:t>rzedmiotu umowy.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</w:t>
      </w:r>
      <w:r w:rsidR="006D00DF">
        <w:rPr>
          <w:sz w:val="22"/>
          <w:szCs w:val="22"/>
        </w:rPr>
        <w:t>achunku prawidłowo 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6D00D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6D00DF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6D00D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6D00D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061D1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061D16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061D16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6D00DF" w:rsidRDefault="006D00DF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lastRenderedPageBreak/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6D00DF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D00DF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D00DF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6D00DF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 xml:space="preserve">. Roszczenie o zapłatę kar umownych staje się wymagalne począwszy od dnia następnego po dniu, </w:t>
      </w:r>
      <w:r w:rsidR="00921B73" w:rsidRPr="00921B73">
        <w:rPr>
          <w:sz w:val="22"/>
          <w:szCs w:val="22"/>
        </w:rPr>
        <w:lastRenderedPageBreak/>
        <w:t>w którym miały miejsce okoliczności faktyczne określone w niniejszej umowie stanowiące podstawę do ich naliczenia.</w:t>
      </w:r>
    </w:p>
    <w:p w:rsidR="00942EBC" w:rsidRPr="00025DF9" w:rsidRDefault="00D14C4B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6D00DF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965769" w:rsidRDefault="00942EBC" w:rsidP="0096576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eastAsia="pl-PL"/>
        </w:rPr>
      </w:pPr>
      <w:r w:rsidRPr="00965769">
        <w:rPr>
          <w:sz w:val="22"/>
          <w:szCs w:val="22"/>
          <w:lang w:eastAsia="pl-PL"/>
        </w:rPr>
        <w:t>Zawiadomienia dokonane w sposób określony ust. 2  będą uważane za dokonane z chwilą doręczenia, a w przypadku zawi</w:t>
      </w:r>
      <w:r w:rsidR="00F97163" w:rsidRPr="00965769">
        <w:rPr>
          <w:sz w:val="22"/>
          <w:szCs w:val="22"/>
          <w:lang w:eastAsia="pl-PL"/>
        </w:rPr>
        <w:t xml:space="preserve">adomień przesłanych </w:t>
      </w:r>
      <w:r w:rsidRPr="0096576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lub wysłane </w:t>
      </w:r>
      <w:r w:rsidRPr="00025DF9">
        <w:rPr>
          <w:sz w:val="22"/>
          <w:szCs w:val="22"/>
          <w:lang w:eastAsia="pl-PL"/>
        </w:rPr>
        <w:lastRenderedPageBreak/>
        <w:t>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FD138E">
        <w:rPr>
          <w:sz w:val="22"/>
          <w:szCs w:val="22"/>
        </w:rPr>
        <w:t>w Krakowie.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 w:rsidRPr="00965769">
        <w:rPr>
          <w:sz w:val="22"/>
          <w:szCs w:val="22"/>
        </w:rPr>
        <w:t>Kosztorys ofertowy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Wykaz urządzeń</w:t>
      </w: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96576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2C792A"/>
    <w:multiLevelType w:val="hybridMultilevel"/>
    <w:tmpl w:val="E27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6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61D16"/>
    <w:rsid w:val="000D65E3"/>
    <w:rsid w:val="00173708"/>
    <w:rsid w:val="001C0094"/>
    <w:rsid w:val="003245F5"/>
    <w:rsid w:val="003A3B69"/>
    <w:rsid w:val="003C3FE4"/>
    <w:rsid w:val="004C495A"/>
    <w:rsid w:val="00547CDD"/>
    <w:rsid w:val="00637C31"/>
    <w:rsid w:val="006406B2"/>
    <w:rsid w:val="006D00DF"/>
    <w:rsid w:val="007147C3"/>
    <w:rsid w:val="00834AFC"/>
    <w:rsid w:val="00837842"/>
    <w:rsid w:val="00845930"/>
    <w:rsid w:val="00921B73"/>
    <w:rsid w:val="00942EBC"/>
    <w:rsid w:val="00965769"/>
    <w:rsid w:val="00A04027"/>
    <w:rsid w:val="00A72493"/>
    <w:rsid w:val="00B217D0"/>
    <w:rsid w:val="00BB49D9"/>
    <w:rsid w:val="00BE634A"/>
    <w:rsid w:val="00C81A38"/>
    <w:rsid w:val="00CC3111"/>
    <w:rsid w:val="00CF282B"/>
    <w:rsid w:val="00D14C4B"/>
    <w:rsid w:val="00D8478E"/>
    <w:rsid w:val="00EB2343"/>
    <w:rsid w:val="00EE4FF8"/>
    <w:rsid w:val="00F64CD7"/>
    <w:rsid w:val="00F66DF8"/>
    <w:rsid w:val="00F9716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11</cp:revision>
  <cp:lastPrinted>2019-09-25T13:38:00Z</cp:lastPrinted>
  <dcterms:created xsi:type="dcterms:W3CDTF">2019-09-18T12:58:00Z</dcterms:created>
  <dcterms:modified xsi:type="dcterms:W3CDTF">2019-09-25T13:39:00Z</dcterms:modified>
</cp:coreProperties>
</file>